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165100</wp:posOffset>
                </wp:positionV>
                <wp:extent cx="211074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630" y="3780000"/>
                          <a:ext cx="211074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165100</wp:posOffset>
                </wp:positionV>
                <wp:extent cx="211074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ind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&lt;126082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– </w:t>
      </w:r>
      <w:r w:rsidDel="00000000" w:rsidR="00000000" w:rsidRPr="00000000">
        <w:rPr>
          <w:b w:val="1"/>
          <w:color w:val="000000"/>
          <w:rtl w:val="0"/>
        </w:rPr>
        <w:t xml:space="preserve">THE SKILLS OF PUBLIC SPEAKING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Kỹ năng trình bày trước đám đông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skills of public speaking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126082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</w:t>
            </w:r>
          </w:p>
          <w:p w:rsidR="00000000" w:rsidDel="00000000" w:rsidP="00000000" w:rsidRDefault="00000000" w:rsidRPr="00000000" w14:paraId="0000001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haipv@lhu.edu.vn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 Duc Cuong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Cuongvd.lhu.edu.vn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Theory: </w:t>
            </w:r>
          </w:p>
          <w:p w:rsidR="00000000" w:rsidDel="00000000" w:rsidP="00000000" w:rsidRDefault="00000000" w:rsidRPr="00000000" w14:paraId="00000024">
            <w:pPr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 </w:t>
            </w:r>
          </w:p>
          <w:p w:rsidR="00000000" w:rsidDel="00000000" w:rsidP="00000000" w:rsidRDefault="00000000" w:rsidRPr="00000000" w14:paraId="00000025">
            <w:pPr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periods</w:t>
            </w:r>
          </w:p>
          <w:p w:rsidR="00000000" w:rsidDel="00000000" w:rsidP="00000000" w:rsidRDefault="00000000" w:rsidRPr="00000000" w14:paraId="0000002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9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Specialty: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Selective to students in Major of 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Pervious course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rHeight w:val="18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This course provides the most essential things in speech, public speaking, how to prepare a speech, and a reasonable demonstration.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In addition, this course also provides the beliefs in public speaking skills, the information of self advantages and disadvantages in public speaking and plan to overcome the weaknesses. 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5"/>
        <w:gridCol w:w="8929"/>
        <w:tblGridChange w:id="0">
          <w:tblGrid>
            <w:gridCol w:w="555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7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284"/>
        <w:gridCol w:w="4545"/>
        <w:gridCol w:w="2135"/>
        <w:gridCol w:w="1705"/>
        <w:tblGridChange w:id="0">
          <w:tblGrid>
            <w:gridCol w:w="1129"/>
            <w:gridCol w:w="284"/>
            <w:gridCol w:w="4545"/>
            <w:gridCol w:w="2135"/>
            <w:gridCol w:w="17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(PLOs)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hd w:fill="ffffff" w:val="clear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Applying knowledge to do an effective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PI1.1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hd w:fill="ffffff" w:val="clear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Expressing the effective ideas by languages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PI5.1</w:t>
            </w:r>
          </w:p>
        </w:tc>
      </w:tr>
      <w:tr>
        <w:trPr>
          <w:cantSplit w:val="0"/>
          <w:trHeight w:val="313.974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hd w:fill="ffffff" w:val="clear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Adapting the changing environment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PI6.2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CLO4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Obeying the study, group work and task arrangement regulations appropriately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PI7.2</w:t>
            </w:r>
          </w:p>
        </w:tc>
      </w:tr>
    </w:tbl>
    <w:p w:rsidR="00000000" w:rsidDel="00000000" w:rsidP="00000000" w:rsidRDefault="00000000" w:rsidRPr="00000000" w14:paraId="00000052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0"/>
        <w:gridCol w:w="8805"/>
        <w:tblGridChange w:id="0">
          <w:tblGrid>
            <w:gridCol w:w="540"/>
            <w:gridCol w:w="8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CONTENT, LESSON PLAN</w:t>
            </w:r>
          </w:p>
        </w:tc>
      </w:tr>
    </w:tbl>
    <w:p w:rsidR="00000000" w:rsidDel="00000000" w:rsidP="00000000" w:rsidRDefault="00000000" w:rsidRPr="00000000" w14:paraId="00000056">
      <w:pPr>
        <w:spacing w:after="240" w:before="240" w:line="276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065"/>
        <w:gridCol w:w="2715"/>
        <w:gridCol w:w="750"/>
        <w:gridCol w:w="2265"/>
        <w:gridCol w:w="2835"/>
        <w:gridCol w:w="1410"/>
        <w:gridCol w:w="1425"/>
        <w:gridCol w:w="1305"/>
        <w:tblGridChange w:id="0">
          <w:tblGrid>
            <w:gridCol w:w="990"/>
            <w:gridCol w:w="1065"/>
            <w:gridCol w:w="2715"/>
            <w:gridCol w:w="750"/>
            <w:gridCol w:w="2265"/>
            <w:gridCol w:w="2835"/>
            <w:gridCol w:w="1410"/>
            <w:gridCol w:w="1425"/>
            <w:gridCol w:w="1305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-20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Chapter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Name/Chapter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 Learning Outcomes (LLO)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240" w:before="240" w:line="276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activities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Teaching methods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References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overview of public speaking skills</w:t>
            </w:r>
          </w:p>
          <w:p w:rsidR="00000000" w:rsidDel="00000000" w:rsidP="00000000" w:rsidRDefault="00000000" w:rsidRPr="00000000" w14:paraId="00000065">
            <w:pP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The concept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Explaining basic information about the general skills also the roles of speaking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 class: Lecturer introduces the course overview, regulations and study routes.</w:t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Students approach the new information by listening, observing and questioning.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D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70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71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2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  <w:p w:rsidR="00000000" w:rsidDel="00000000" w:rsidP="00000000" w:rsidRDefault="00000000" w:rsidRPr="00000000" w14:paraId="00000073">
            <w:pPr>
              <w:ind w:left="-13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7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Functions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Types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Comparing the functions and classifying speaking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Preparing the presentations </w:t>
            </w:r>
          </w:p>
          <w:p w:rsidR="00000000" w:rsidDel="00000000" w:rsidP="00000000" w:rsidRDefault="00000000" w:rsidRPr="00000000" w14:paraId="00000085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Identifying the listeners and planning for the presentations </w:t>
            </w:r>
          </w:p>
          <w:p w:rsidR="00000000" w:rsidDel="00000000" w:rsidP="00000000" w:rsidRDefault="00000000" w:rsidRPr="00000000" w14:paraId="00000086">
            <w:pP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Identifying the topic and writing drafts for the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Preparing tools, supporting media</w:t>
            </w:r>
          </w:p>
          <w:p w:rsidR="00000000" w:rsidDel="00000000" w:rsidP="00000000" w:rsidRDefault="00000000" w:rsidRPr="00000000" w14:paraId="00000088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Preparing the appearance and mental state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Explaining the principles in presentations and the appropriate presentations method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the individuals to present in order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C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8D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8E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F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090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91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Cross-review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9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Performing the preparations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LLO2.2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all the principle, the method of presentations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hd w:fill="ffffff" w:val="clear"/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Doing the presentations</w:t>
            </w:r>
          </w:p>
          <w:p w:rsidR="00000000" w:rsidDel="00000000" w:rsidP="00000000" w:rsidRDefault="00000000" w:rsidRPr="00000000" w14:paraId="000000A0">
            <w:pPr>
              <w:shd w:fill="ffffff" w:val="clear"/>
              <w:ind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Every step of doing the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2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Applying techniques, skills and solving problems in the specific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the individuals to present in order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5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A6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7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0A8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A9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Cross-review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A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hd w:fill="ffffff" w:val="clear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A few basic techniques in the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6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hd w:fill="ffffff" w:val="clear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A few common errors and ways to solve.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2" w:right="-114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Adapting the speech’s environment to solve the practical problems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hd w:fill="ffffff" w:val="clear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Practice: Presentations exercise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LLO3.3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Following the principles in the presentations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Analyzing and discussing the most famous speech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 The Presentation no.1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The Presentation no.2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</w:tc>
        <w:tc>
          <w:tcPr/>
          <w:p w:rsidR="00000000" w:rsidDel="00000000" w:rsidP="00000000" w:rsidRDefault="00000000" w:rsidRPr="00000000" w14:paraId="000000C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Showing the advantages of these presentations to form skills for individuals.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the individuals to present in order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F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0D0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1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0D2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0D3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Cross-review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D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7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 The Presentation no.3</w:t>
            </w:r>
          </w:p>
          <w:p w:rsidR="00000000" w:rsidDel="00000000" w:rsidP="00000000" w:rsidRDefault="00000000" w:rsidRPr="00000000" w14:paraId="000000D9">
            <w:pPr>
              <w:shd w:fill="ffffff" w:val="clear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 The Presentation no.4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Adapting the speech’s environment to solve the practical problems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Self-study 30%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the individuals to narrate in order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  <w:p w:rsidR="00000000" w:rsidDel="00000000" w:rsidP="00000000" w:rsidRDefault="00000000" w:rsidRPr="00000000" w14:paraId="000000E7">
            <w:pPr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ind w:left="-10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 Fieldwork/ practicum test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940" w:tblpY="852"/>
        <w:tblW w:w="969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9"/>
        <w:gridCol w:w="9282"/>
        <w:tblGridChange w:id="0">
          <w:tblGrid>
            <w:gridCol w:w="409"/>
            <w:gridCol w:w="92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  <w:p w:rsidR="00000000" w:rsidDel="00000000" w:rsidP="00000000" w:rsidRDefault="00000000" w:rsidRPr="00000000" w14:paraId="000000ED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Table 3:  Mapping of Lesson and Course Learning Outcomes</w:t>
            </w:r>
          </w:p>
          <w:p w:rsidR="00000000" w:rsidDel="00000000" w:rsidP="00000000" w:rsidRDefault="00000000" w:rsidRPr="00000000" w14:paraId="000000EE">
            <w:pPr>
              <w:spacing w:befor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777.0" w:type="dxa"/>
              <w:jc w:val="left"/>
              <w:tblInd w:w="2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82"/>
              <w:gridCol w:w="1010"/>
              <w:gridCol w:w="1010"/>
              <w:gridCol w:w="1010"/>
              <w:gridCol w:w="1013"/>
              <w:gridCol w:w="3252"/>
              <w:tblGridChange w:id="0">
                <w:tblGrid>
                  <w:gridCol w:w="1482"/>
                  <w:gridCol w:w="1010"/>
                  <w:gridCol w:w="1010"/>
                  <w:gridCol w:w="1010"/>
                  <w:gridCol w:w="1013"/>
                  <w:gridCol w:w="3252"/>
                </w:tblGrid>
              </w:tblGridChange>
            </w:tblGrid>
            <w:tr>
              <w:trPr>
                <w:cantSplit w:val="1"/>
                <w:trHeight w:val="399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ind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Lesson Learning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ind w:firstLine="0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Course Learning Outcomes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ind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Evaluation Component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52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ind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CLO1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ind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CLO2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ind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CLO3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ind w:firstLine="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CLO4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LLO1.1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0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LLO1.2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4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5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6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A1, A2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7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LLO2.1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8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9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A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B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C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D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LLO2.2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E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F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A2, A3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3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3">
                  <w:pPr>
                    <w:ind w:hanging="2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LLO3.1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4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5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9">
                  <w:pPr>
                    <w:ind w:hanging="2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LLO3.2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A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B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C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D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E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A2, A3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F">
                  <w:pPr>
                    <w:ind w:hanging="2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LLO3.3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0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1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2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3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4">
                  <w:pPr>
                    <w:ind w:hanging="2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A1, A2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5">
                  <w:pPr>
                    <w:ind w:hanging="2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LLO4.1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6">
                  <w:pPr>
                    <w:ind w:hanging="2"/>
                    <w:jc w:val="center"/>
                    <w:rPr>
                      <w:color w:val="000000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7">
                  <w:pPr>
                    <w:ind w:hanging="2"/>
                    <w:jc w:val="center"/>
                    <w:rPr>
                      <w:color w:val="000000"/>
                      <w:highlight w:val="white"/>
                    </w:rPr>
                  </w:pPr>
                  <w:r w:rsidDel="00000000" w:rsidR="00000000" w:rsidRPr="00000000">
                    <w:rPr>
                      <w:color w:val="000000"/>
                      <w:highlight w:val="whit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8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9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A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B">
                  <w:pPr>
                    <w:ind w:hanging="2"/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LLO4.2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C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D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E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F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0">
                  <w:pPr>
                    <w:ind w:hanging="2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A2,A3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5"/>
        <w:gridCol w:w="9045"/>
        <w:tblGridChange w:id="0">
          <w:tblGrid>
            <w:gridCol w:w="585"/>
            <w:gridCol w:w="90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3B">
      <w:pPr>
        <w:spacing w:after="240"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120" w:line="312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120" w:line="312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120" w:line="312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120" w:line="312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120" w:line="312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</w:t>
            </w:r>
          </w:p>
          <w:p w:rsidR="00000000" w:rsidDel="00000000" w:rsidP="00000000" w:rsidRDefault="00000000" w:rsidRPr="00000000" w14:paraId="00000142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Class’s exercises</w:t>
            </w:r>
          </w:p>
          <w:p w:rsidR="00000000" w:rsidDel="00000000" w:rsidP="00000000" w:rsidRDefault="00000000" w:rsidRPr="00000000" w14:paraId="00000143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Discussing, following the requested contents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CLO1, CLO2, CLO4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120" w:line="312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Presentations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CLO1,CLO3, CLO4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="312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Presentations</w:t>
            </w:r>
          </w:p>
          <w:p w:rsidR="00000000" w:rsidDel="00000000" w:rsidP="00000000" w:rsidRDefault="00000000" w:rsidRPr="00000000" w14:paraId="0000014C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 the practice locations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CLO1,CLO3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0"/>
        <w:gridCol w:w="9030"/>
        <w:tblGridChange w:id="0">
          <w:tblGrid>
            <w:gridCol w:w="600"/>
            <w:gridCol w:w="90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52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</w:t>
      </w:r>
    </w:p>
    <w:p w:rsidR="00000000" w:rsidDel="00000000" w:rsidP="00000000" w:rsidRDefault="00000000" w:rsidRPr="00000000" w14:paraId="00000153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54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do homework, exercises in class will be given bonus marks to the students’ process status.</w:t>
      </w:r>
    </w:p>
    <w:p w:rsidR="00000000" w:rsidDel="00000000" w:rsidP="00000000" w:rsidRDefault="00000000" w:rsidRPr="00000000" w14:paraId="00000155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0"/>
        <w:gridCol w:w="9060"/>
        <w:tblGridChange w:id="0">
          <w:tblGrid>
            <w:gridCol w:w="570"/>
            <w:gridCol w:w="9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58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8.1 Textbook</w:t>
      </w:r>
    </w:p>
    <w:p w:rsidR="00000000" w:rsidDel="00000000" w:rsidP="00000000" w:rsidRDefault="00000000" w:rsidRPr="00000000" w14:paraId="00000159">
      <w:pPr>
        <w:pStyle w:val="Heading1"/>
        <w:ind w:hanging="148"/>
        <w:rPr>
          <w:b w:val="0"/>
          <w:color w:val="000000"/>
          <w:sz w:val="26"/>
          <w:szCs w:val="26"/>
          <w:highlight w:val="white"/>
        </w:rPr>
      </w:pPr>
      <w:r w:rsidDel="00000000" w:rsidR="00000000" w:rsidRPr="00000000">
        <w:rPr>
          <w:b w:val="0"/>
          <w:color w:val="000000"/>
          <w:sz w:val="26"/>
          <w:szCs w:val="26"/>
          <w:highlight w:val="white"/>
          <w:rtl w:val="0"/>
        </w:rPr>
        <w:t xml:space="preserve">[1] Nguyễn Ngọc Sơn (2020),</w:t>
      </w:r>
      <w:r w:rsidDel="00000000" w:rsidR="00000000" w:rsidRPr="00000000">
        <w:rPr>
          <w:rFonts w:ascii="Roboto" w:cs="Roboto" w:eastAsia="Roboto" w:hAnsi="Roboto"/>
          <w:b w:val="0"/>
          <w:color w:val="333333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0"/>
          <w:i w:val="1"/>
          <w:color w:val="000000"/>
          <w:sz w:val="26"/>
          <w:szCs w:val="26"/>
          <w:highlight w:val="white"/>
          <w:rtl w:val="0"/>
        </w:rPr>
        <w:t xml:space="preserve">Nói Ra Đừng Sợ - Kỹ Năng </w:t>
      </w:r>
      <w:r w:rsidDel="00000000" w:rsidR="00000000" w:rsidRPr="00000000">
        <w:rPr>
          <w:b w:val="0"/>
          <w:i w:val="1"/>
          <w:sz w:val="26"/>
          <w:szCs w:val="26"/>
          <w:highlight w:val="white"/>
          <w:rtl w:val="0"/>
        </w:rPr>
        <w:t xml:space="preserve">Presentations </w:t>
      </w:r>
      <w:r w:rsidDel="00000000" w:rsidR="00000000" w:rsidRPr="00000000">
        <w:rPr>
          <w:b w:val="0"/>
          <w:i w:val="1"/>
          <w:color w:val="000000"/>
          <w:sz w:val="26"/>
          <w:szCs w:val="26"/>
          <w:highlight w:val="white"/>
          <w:rtl w:val="0"/>
        </w:rPr>
        <w:t xml:space="preserve">Cho Người Mới Bắt Đầu, </w:t>
      </w:r>
      <w:r w:rsidDel="00000000" w:rsidR="00000000" w:rsidRPr="00000000">
        <w:rPr>
          <w:b w:val="0"/>
          <w:color w:val="000000"/>
          <w:sz w:val="26"/>
          <w:szCs w:val="26"/>
          <w:highlight w:val="white"/>
          <w:rtl w:val="0"/>
        </w:rPr>
        <w:t xml:space="preserve">NXB Lao Động -  Xã hội, Hà Nội</w:t>
      </w:r>
    </w:p>
    <w:p w:rsidR="00000000" w:rsidDel="00000000" w:rsidP="00000000" w:rsidRDefault="00000000" w:rsidRPr="00000000" w14:paraId="0000015A">
      <w:pPr>
        <w:pStyle w:val="Heading1"/>
        <w:ind w:hanging="148"/>
        <w:rPr>
          <w:color w:val="333333"/>
          <w:highlight w:val="white"/>
        </w:rPr>
      </w:pPr>
      <w:r w:rsidDel="00000000" w:rsidR="00000000" w:rsidRPr="00000000">
        <w:rPr>
          <w:b w:val="0"/>
          <w:color w:val="000000"/>
          <w:sz w:val="26"/>
          <w:szCs w:val="26"/>
          <w:highlight w:val="white"/>
          <w:rtl w:val="0"/>
        </w:rPr>
        <w:t xml:space="preserve">[2]</w:t>
      </w:r>
      <w:hyperlink r:id="rId7">
        <w:r w:rsidDel="00000000" w:rsidR="00000000" w:rsidRPr="00000000">
          <w:rPr>
            <w:b w:val="0"/>
            <w:color w:val="000000"/>
            <w:sz w:val="26"/>
            <w:szCs w:val="26"/>
            <w:highlight w:val="white"/>
            <w:rtl w:val="0"/>
          </w:rPr>
          <w:t xml:space="preserve">Vương Lâm , Lý Phụng Nghi,Trần Thu Dĩnh</w:t>
        </w:r>
      </w:hyperlink>
      <w:r w:rsidDel="00000000" w:rsidR="00000000" w:rsidRPr="00000000">
        <w:rPr>
          <w:b w:val="0"/>
          <w:color w:val="000000"/>
          <w:sz w:val="26"/>
          <w:szCs w:val="26"/>
          <w:highlight w:val="white"/>
          <w:rtl w:val="0"/>
        </w:rPr>
        <w:t xml:space="preserve"> (2020), </w:t>
      </w:r>
      <w:r w:rsidDel="00000000" w:rsidR="00000000" w:rsidRPr="00000000">
        <w:rPr>
          <w:b w:val="0"/>
          <w:i w:val="1"/>
          <w:color w:val="000000"/>
          <w:sz w:val="26"/>
          <w:szCs w:val="26"/>
          <w:highlight w:val="white"/>
          <w:rtl w:val="0"/>
        </w:rPr>
        <w:t xml:space="preserve">Diễn Thuyết Dễ Dàng Hơn Bạn Tưởng</w:t>
      </w:r>
      <w:r w:rsidDel="00000000" w:rsidR="00000000" w:rsidRPr="00000000">
        <w:rPr>
          <w:b w:val="0"/>
          <w:color w:val="000000"/>
          <w:sz w:val="26"/>
          <w:szCs w:val="26"/>
          <w:highlight w:val="white"/>
          <w:rtl w:val="0"/>
        </w:rPr>
        <w:t xml:space="preserve">, NXB Thanh Niên, Hà Nội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Rule="auto"/>
        <w:ind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8.2 References</w:t>
      </w:r>
    </w:p>
    <w:p w:rsidR="00000000" w:rsidDel="00000000" w:rsidP="00000000" w:rsidRDefault="00000000" w:rsidRPr="00000000" w14:paraId="0000015C">
      <w:pPr>
        <w:spacing w:after="0" w:lineRule="auto"/>
        <w:ind w:firstLine="0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rtl w:val="0"/>
        </w:rPr>
        <w:tab/>
      </w:r>
      <w:r w:rsidDel="00000000" w:rsidR="00000000" w:rsidRPr="00000000">
        <w:rPr>
          <w:color w:val="000000"/>
          <w:highlight w:val="white"/>
          <w:rtl w:val="0"/>
        </w:rPr>
        <w:t xml:space="preserve">[1]. </w:t>
      </w:r>
      <w:hyperlink r:id="rId8">
        <w:r w:rsidDel="00000000" w:rsidR="00000000" w:rsidRPr="00000000">
          <w:rPr>
            <w:rtl w:val="0"/>
          </w:rPr>
          <w:t xml:space="preserve">Alison Lester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(2019 Dương Nhã Văn biên dịch),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 Kỹ năng thuyết trình hiệu quả,</w:t>
      </w:r>
      <w:r w:rsidDel="00000000" w:rsidR="00000000" w:rsidRPr="00000000">
        <w:rPr>
          <w:color w:val="000000"/>
          <w:highlight w:val="white"/>
          <w:rtl w:val="0"/>
        </w:rPr>
        <w:t xml:space="preserve"> NXB Lao Động,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Hà Nội</w:t>
      </w:r>
    </w:p>
    <w:p w:rsidR="00000000" w:rsidDel="00000000" w:rsidP="00000000" w:rsidRDefault="00000000" w:rsidRPr="00000000" w14:paraId="0000015D">
      <w:pPr>
        <w:spacing w:after="0" w:lineRule="auto"/>
        <w:ind w:firstLine="0"/>
        <w:rPr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rtl w:val="0"/>
        </w:rPr>
        <w:t xml:space="preserve">           [2]. </w:t>
      </w:r>
      <w:r w:rsidDel="00000000" w:rsidR="00000000" w:rsidRPr="00000000">
        <w:rPr>
          <w:rtl w:val="0"/>
        </w:rPr>
        <w:t xml:space="preserve">Dale Carnegie (2019 Minhthangbook biên dịch), </w:t>
      </w:r>
      <w:r w:rsidDel="00000000" w:rsidR="00000000" w:rsidRPr="00000000">
        <w:rPr>
          <w:i w:val="1"/>
          <w:color w:val="333333"/>
          <w:highlight w:val="white"/>
          <w:rtl w:val="0"/>
        </w:rPr>
        <w:t xml:space="preserve">Nghệ thuật nói trước công chúng,</w:t>
      </w:r>
      <w:r w:rsidDel="00000000" w:rsidR="00000000" w:rsidRPr="00000000">
        <w:rPr>
          <w:color w:val="333333"/>
          <w:highlight w:val="white"/>
          <w:rtl w:val="0"/>
        </w:rPr>
        <w:t xml:space="preserve"> NXB Dân Trí, </w:t>
      </w:r>
      <w:r w:rsidDel="00000000" w:rsidR="00000000" w:rsidRPr="00000000">
        <w:rPr>
          <w:color w:val="000000"/>
          <w:highlight w:val="white"/>
          <w:rtl w:val="0"/>
        </w:rPr>
        <w:t xml:space="preserve">Hà Nội </w:t>
      </w: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60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</w:t>
      </w:r>
    </w:p>
    <w:p w:rsidR="00000000" w:rsidDel="00000000" w:rsidP="00000000" w:rsidRDefault="00000000" w:rsidRPr="00000000" w14:paraId="00000161">
      <w:pPr>
        <w:spacing w:after="240" w:before="240" w:line="312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❖</w:t>
      </w:r>
      <w:r w:rsidDel="00000000" w:rsidR="00000000" w:rsidRPr="00000000">
        <w:rPr>
          <w:color w:val="000000"/>
          <w:sz w:val="14"/>
          <w:szCs w:val="14"/>
          <w:rtl w:val="0"/>
        </w:rPr>
        <w:tab/>
      </w:r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p w:rsidR="00000000" w:rsidDel="00000000" w:rsidP="00000000" w:rsidRDefault="00000000" w:rsidRPr="00000000" w14:paraId="00000162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rHeight w:val="177.949218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  <w:p w:rsidR="00000000" w:rsidDel="00000000" w:rsidP="00000000" w:rsidRDefault="00000000" w:rsidRPr="00000000" w14:paraId="00000164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166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974609375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6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rHeight w:val="283.974609375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6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rHeight w:val="283.974609375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6C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6D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spacing w:after="240" w:befor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</w:tc>
        <w:tc>
          <w:tcPr/>
          <w:p w:rsidR="00000000" w:rsidDel="00000000" w:rsidP="00000000" w:rsidRDefault="00000000" w:rsidRPr="00000000" w14:paraId="0000016F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7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7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7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Phan Van Hai</w:t>
            </w:r>
          </w:p>
        </w:tc>
      </w:tr>
    </w:tbl>
    <w:p w:rsidR="00000000" w:rsidDel="00000000" w:rsidP="00000000" w:rsidRDefault="00000000" w:rsidRPr="00000000" w14:paraId="00000179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Georgia"/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Bold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432" w:right="0" w:hanging="432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nhlongbook.vn/collections/tat-ca-san-pham/tacgia-vuong-lam-ly-phung-nghi-tran-thu-dinh" TargetMode="External"/><Relationship Id="rId8" Type="http://schemas.openxmlformats.org/officeDocument/2006/relationships/hyperlink" Target="https://tiki.vn/author/alison-lester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attrocentoSans-bold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